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AF" w:rsidRPr="001E1DDD" w:rsidRDefault="002A14AF" w:rsidP="002A14AF">
      <w:pPr>
        <w:jc w:val="center"/>
        <w:rPr>
          <w:b/>
        </w:rPr>
      </w:pPr>
      <w:r w:rsidRPr="001E1DDD">
        <w:rPr>
          <w:b/>
        </w:rPr>
        <w:t>РАБОЧ</w:t>
      </w:r>
      <w:r>
        <w:rPr>
          <w:b/>
        </w:rPr>
        <w:t>АЯ</w:t>
      </w:r>
      <w:r w:rsidRPr="001E1DDD">
        <w:rPr>
          <w:b/>
        </w:rPr>
        <w:t xml:space="preserve"> ПРОГРАММ</w:t>
      </w:r>
      <w:r>
        <w:rPr>
          <w:b/>
        </w:rPr>
        <w:t>А</w:t>
      </w:r>
    </w:p>
    <w:p w:rsidR="002A14AF" w:rsidRDefault="002A14AF" w:rsidP="002A14AF">
      <w:pPr>
        <w:rPr>
          <w:b/>
        </w:rPr>
      </w:pPr>
    </w:p>
    <w:p w:rsidR="002A14AF" w:rsidRDefault="002A14AF" w:rsidP="002A14AF">
      <w:r w:rsidRPr="002A14AF">
        <w:t xml:space="preserve">Категория </w:t>
      </w:r>
      <w:proofErr w:type="gramStart"/>
      <w:r w:rsidRPr="002A14AF">
        <w:t>обучающихся</w:t>
      </w:r>
      <w:proofErr w:type="gramEnd"/>
      <w:r w:rsidRPr="002A14AF">
        <w:t>: врачи (психотерапевты, психиатры, неврологи, педиатры),</w:t>
      </w:r>
      <w:r>
        <w:t xml:space="preserve"> клинические психологи.</w:t>
      </w:r>
    </w:p>
    <w:p w:rsidR="002A14AF" w:rsidRPr="001E1DDD" w:rsidRDefault="002A14AF" w:rsidP="002A14AF">
      <w:r w:rsidRPr="001E1DDD">
        <w:t>Форма обучения: очная</w:t>
      </w:r>
    </w:p>
    <w:p w:rsidR="002A14AF" w:rsidRPr="001E1DDD" w:rsidRDefault="002A14AF" w:rsidP="002A14AF">
      <w:r w:rsidRPr="001E1DDD">
        <w:t>Режим занятий: 6 академических часов в день</w:t>
      </w:r>
    </w:p>
    <w:p w:rsidR="002A14AF" w:rsidRPr="001E1DDD" w:rsidRDefault="002A14AF" w:rsidP="002A14AF">
      <w:pPr>
        <w:jc w:val="center"/>
      </w:pPr>
    </w:p>
    <w:p w:rsidR="002A14AF" w:rsidRPr="001E1DDD" w:rsidRDefault="002A14AF" w:rsidP="002A14AF">
      <w:pPr>
        <w:jc w:val="center"/>
      </w:pPr>
      <w:r w:rsidRPr="001E1DDD">
        <w:t>РАЗДЕЛ 1</w:t>
      </w:r>
    </w:p>
    <w:p w:rsidR="002A14AF" w:rsidRPr="001E1DDD" w:rsidRDefault="002A14AF" w:rsidP="002A14AF">
      <w:pPr>
        <w:jc w:val="center"/>
      </w:pPr>
      <w:r w:rsidRPr="001E1DDD">
        <w:rPr>
          <w:rStyle w:val="s2"/>
        </w:rPr>
        <w:t xml:space="preserve">Основные понятия о неврозах. </w:t>
      </w:r>
      <w:r w:rsidRPr="001E1DDD">
        <w:t>Два подхода к диагностике невроза. Принцип негативной диагностики невроза. Принцип позитивной диагностики невроза (В.Н. Мясищев)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85"/>
        <w:gridCol w:w="9448"/>
      </w:tblGrid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Pr>
              <w:jc w:val="center"/>
              <w:rPr>
                <w:bCs/>
              </w:rPr>
            </w:pPr>
            <w:r w:rsidRPr="001E1DDD">
              <w:rPr>
                <w:bCs/>
              </w:rPr>
              <w:t>Код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Pr>
              <w:jc w:val="center"/>
              <w:rPr>
                <w:bCs/>
              </w:rPr>
            </w:pPr>
            <w:r w:rsidRPr="001E1DDD">
              <w:rPr>
                <w:bCs/>
              </w:rPr>
              <w:t xml:space="preserve">Наименования тем, элементов и </w:t>
            </w:r>
            <w:proofErr w:type="spellStart"/>
            <w:r w:rsidRPr="001E1DDD">
              <w:rPr>
                <w:bCs/>
              </w:rPr>
              <w:t>подэлементов</w:t>
            </w:r>
            <w:proofErr w:type="spellEnd"/>
          </w:p>
        </w:tc>
      </w:tr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 xml:space="preserve">1.1 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Невроз и психогении. Психогении и стресс.</w:t>
            </w:r>
          </w:p>
        </w:tc>
      </w:tr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1.2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Основные положения принципа позитивной диагностики невроза по В.Н. Мясищеву</w:t>
            </w:r>
          </w:p>
        </w:tc>
      </w:tr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1.3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 xml:space="preserve">Невротический конфликт личности. Внешний и </w:t>
            </w:r>
            <w:proofErr w:type="spellStart"/>
            <w:r w:rsidRPr="001E1DDD">
              <w:t>внутриличностный</w:t>
            </w:r>
            <w:proofErr w:type="spellEnd"/>
            <w:r w:rsidRPr="001E1DDD">
              <w:t xml:space="preserve"> конфликт </w:t>
            </w:r>
          </w:p>
        </w:tc>
      </w:tr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1.4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Типы невротического конфликта</w:t>
            </w:r>
          </w:p>
        </w:tc>
      </w:tr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1.5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 xml:space="preserve">Неврозы и </w:t>
            </w:r>
            <w:proofErr w:type="spellStart"/>
            <w:r w:rsidRPr="001E1DDD">
              <w:t>неврозоподобные</w:t>
            </w:r>
            <w:proofErr w:type="spellEnd"/>
            <w:r w:rsidRPr="001E1DDD">
              <w:t xml:space="preserve"> состояния. </w:t>
            </w:r>
            <w:proofErr w:type="spellStart"/>
            <w:r w:rsidRPr="001E1DDD">
              <w:t>Этиопатогенетическая</w:t>
            </w:r>
            <w:proofErr w:type="spellEnd"/>
            <w:r w:rsidRPr="001E1DDD">
              <w:t xml:space="preserve"> и клиническая (В.В. Ковалёв) дифференциальная диагностика</w:t>
            </w:r>
          </w:p>
        </w:tc>
      </w:tr>
    </w:tbl>
    <w:p w:rsidR="002A14AF" w:rsidRPr="001E1DDD" w:rsidRDefault="002A14AF" w:rsidP="002A14AF">
      <w:pPr>
        <w:jc w:val="center"/>
      </w:pPr>
    </w:p>
    <w:p w:rsidR="002A14AF" w:rsidRPr="001E1DDD" w:rsidRDefault="002A14AF" w:rsidP="002A14AF">
      <w:pPr>
        <w:jc w:val="center"/>
      </w:pPr>
      <w:r w:rsidRPr="001E1DDD">
        <w:t>РАЗДЕЛ 2</w:t>
      </w:r>
    </w:p>
    <w:p w:rsidR="002A14AF" w:rsidRPr="001E1DDD" w:rsidRDefault="002A14AF" w:rsidP="002A14AF">
      <w:pPr>
        <w:jc w:val="center"/>
      </w:pPr>
      <w:r w:rsidRPr="001E1DDD">
        <w:t xml:space="preserve">Системные неврозы и </w:t>
      </w:r>
      <w:proofErr w:type="spellStart"/>
      <w:r w:rsidRPr="001E1DDD">
        <w:t>неврозоподобные</w:t>
      </w:r>
      <w:proofErr w:type="spellEnd"/>
      <w:r w:rsidRPr="001E1DDD">
        <w:t xml:space="preserve"> состояния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875"/>
        <w:gridCol w:w="9258"/>
      </w:tblGrid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Pr>
              <w:jc w:val="center"/>
              <w:rPr>
                <w:bCs/>
              </w:rPr>
            </w:pPr>
            <w:r w:rsidRPr="001E1DDD">
              <w:rPr>
                <w:bCs/>
              </w:rPr>
              <w:t>Код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Pr>
              <w:jc w:val="center"/>
              <w:rPr>
                <w:bCs/>
              </w:rPr>
            </w:pPr>
            <w:r w:rsidRPr="001E1DDD">
              <w:rPr>
                <w:bCs/>
              </w:rPr>
              <w:t xml:space="preserve">Наименования тем, элементов и </w:t>
            </w:r>
            <w:proofErr w:type="spellStart"/>
            <w:r w:rsidRPr="001E1DDD">
              <w:rPr>
                <w:bCs/>
              </w:rPr>
              <w:t>подэлементов</w:t>
            </w:r>
            <w:proofErr w:type="spellEnd"/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2.1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roofErr w:type="spellStart"/>
            <w:r w:rsidRPr="001E1DDD">
              <w:t>Энурез</w:t>
            </w:r>
            <w:proofErr w:type="spellEnd"/>
            <w:r w:rsidRPr="001E1DDD">
              <w:t xml:space="preserve"> и другие виды недержания мочи. Невротическая поллакиурия.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2.2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roofErr w:type="spellStart"/>
            <w:r w:rsidRPr="001E1DDD">
              <w:t>Энкопрез</w:t>
            </w:r>
            <w:proofErr w:type="spellEnd"/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2.3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 xml:space="preserve">Заикание и </w:t>
            </w:r>
            <w:proofErr w:type="spellStart"/>
            <w:r w:rsidRPr="001E1DDD">
              <w:t>логоневроз</w:t>
            </w:r>
            <w:proofErr w:type="spellEnd"/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2.4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Тики, ОКР и стереотипные двигательные расстройства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2.5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roofErr w:type="spellStart"/>
            <w:r w:rsidRPr="001E1DDD">
              <w:t>Трихотилломания</w:t>
            </w:r>
            <w:proofErr w:type="spellEnd"/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2.6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roofErr w:type="spellStart"/>
            <w:r w:rsidRPr="001E1DDD">
              <w:t>Тревожно-фобические</w:t>
            </w:r>
            <w:proofErr w:type="spellEnd"/>
            <w:r w:rsidRPr="001E1DDD">
              <w:t xml:space="preserve"> расстройства (страхи)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2.7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Расстройства сна</w:t>
            </w:r>
          </w:p>
        </w:tc>
      </w:tr>
    </w:tbl>
    <w:p w:rsidR="002A14AF" w:rsidRPr="001E1DDD" w:rsidRDefault="002A14AF" w:rsidP="002A14AF">
      <w:pPr>
        <w:jc w:val="center"/>
      </w:pPr>
    </w:p>
    <w:p w:rsidR="002A14AF" w:rsidRPr="001E1DDD" w:rsidRDefault="002A14AF" w:rsidP="002A14AF">
      <w:pPr>
        <w:jc w:val="center"/>
      </w:pPr>
      <w:r w:rsidRPr="001E1DDD">
        <w:t>РАЗДЕЛ 3</w:t>
      </w:r>
    </w:p>
    <w:p w:rsidR="002A14AF" w:rsidRPr="001E1DDD" w:rsidRDefault="002A14AF" w:rsidP="002A14AF">
      <w:pPr>
        <w:jc w:val="center"/>
      </w:pPr>
      <w:proofErr w:type="spellStart"/>
      <w:r w:rsidRPr="001E1DDD">
        <w:t>Резидуально-органические</w:t>
      </w:r>
      <w:proofErr w:type="spellEnd"/>
      <w:r w:rsidRPr="001E1DDD">
        <w:t xml:space="preserve"> предпосылки для возникновения неврозов и </w:t>
      </w:r>
      <w:proofErr w:type="spellStart"/>
      <w:r w:rsidRPr="001E1DDD">
        <w:t>неврозоподобных</w:t>
      </w:r>
      <w:proofErr w:type="spellEnd"/>
      <w:r w:rsidRPr="001E1DDD">
        <w:t xml:space="preserve"> состояний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85"/>
        <w:gridCol w:w="9448"/>
      </w:tblGrid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Pr>
              <w:jc w:val="center"/>
              <w:rPr>
                <w:bCs/>
              </w:rPr>
            </w:pPr>
            <w:r w:rsidRPr="001E1DDD">
              <w:rPr>
                <w:bCs/>
              </w:rPr>
              <w:t>Код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Pr>
              <w:jc w:val="center"/>
              <w:rPr>
                <w:bCs/>
              </w:rPr>
            </w:pPr>
            <w:r w:rsidRPr="001E1DDD">
              <w:rPr>
                <w:bCs/>
              </w:rPr>
              <w:t xml:space="preserve">Наименования тем, элементов и </w:t>
            </w:r>
            <w:proofErr w:type="spellStart"/>
            <w:r w:rsidRPr="001E1DDD">
              <w:rPr>
                <w:bCs/>
              </w:rPr>
              <w:t>подэлементов</w:t>
            </w:r>
            <w:proofErr w:type="spellEnd"/>
          </w:p>
        </w:tc>
      </w:tr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3.1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roofErr w:type="spellStart"/>
            <w:r w:rsidRPr="001E1DDD">
              <w:t>Гиперкинетические</w:t>
            </w:r>
            <w:proofErr w:type="spellEnd"/>
            <w:r w:rsidRPr="001E1DDD">
              <w:t xml:space="preserve"> расстройства у детей и подростков (СДВГ)</w:t>
            </w:r>
          </w:p>
        </w:tc>
      </w:tr>
      <w:tr w:rsidR="002A14AF" w:rsidRPr="001E1DDD" w:rsidTr="002A14AF">
        <w:tc>
          <w:tcPr>
            <w:tcW w:w="338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>3.2</w:t>
            </w:r>
          </w:p>
        </w:tc>
        <w:tc>
          <w:tcPr>
            <w:tcW w:w="4662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r w:rsidRPr="001E1DDD">
              <w:t xml:space="preserve">Астенические состояния у детей и подростков. </w:t>
            </w:r>
            <w:proofErr w:type="gramStart"/>
            <w:r w:rsidRPr="001E1DDD">
              <w:t>(Невропатии.</w:t>
            </w:r>
            <w:proofErr w:type="gramEnd"/>
            <w:r w:rsidRPr="001E1DDD">
              <w:t xml:space="preserve"> </w:t>
            </w:r>
            <w:proofErr w:type="spellStart"/>
            <w:r w:rsidRPr="001E1DDD">
              <w:t>Астено-невротический</w:t>
            </w:r>
            <w:proofErr w:type="spellEnd"/>
            <w:r w:rsidRPr="001E1DDD">
              <w:t xml:space="preserve"> синдром. </w:t>
            </w:r>
            <w:proofErr w:type="spellStart"/>
            <w:r w:rsidRPr="001E1DDD">
              <w:t>Церебрастенический</w:t>
            </w:r>
            <w:proofErr w:type="spellEnd"/>
            <w:r w:rsidRPr="001E1DDD">
              <w:t xml:space="preserve"> синдром. </w:t>
            </w:r>
            <w:proofErr w:type="gramStart"/>
            <w:r w:rsidRPr="001E1DDD">
              <w:t xml:space="preserve">Неврастения) </w:t>
            </w:r>
            <w:proofErr w:type="gramEnd"/>
          </w:p>
        </w:tc>
      </w:tr>
    </w:tbl>
    <w:p w:rsidR="002A14AF" w:rsidRPr="001E1DDD" w:rsidRDefault="002A14AF" w:rsidP="002A14AF">
      <w:pPr>
        <w:jc w:val="center"/>
      </w:pPr>
    </w:p>
    <w:p w:rsidR="002A14AF" w:rsidRPr="001E1DDD" w:rsidRDefault="002A14AF" w:rsidP="002A14AF">
      <w:pPr>
        <w:jc w:val="center"/>
      </w:pPr>
      <w:r w:rsidRPr="001E1DDD">
        <w:t>РАЗДЕЛ 4</w:t>
      </w:r>
    </w:p>
    <w:p w:rsidR="002A14AF" w:rsidRPr="001E1DDD" w:rsidRDefault="002A14AF" w:rsidP="002A14AF">
      <w:pPr>
        <w:jc w:val="center"/>
      </w:pPr>
      <w:r w:rsidRPr="001E1DDD">
        <w:t xml:space="preserve">Игровая и поведенческая психотерапия неврозов и </w:t>
      </w:r>
      <w:proofErr w:type="spellStart"/>
      <w:r w:rsidRPr="001E1DDD">
        <w:t>неврозоподобных</w:t>
      </w:r>
      <w:proofErr w:type="spellEnd"/>
      <w:r w:rsidRPr="001E1DDD">
        <w:t xml:space="preserve"> состояний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875"/>
        <w:gridCol w:w="9258"/>
      </w:tblGrid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Pr>
              <w:jc w:val="center"/>
              <w:rPr>
                <w:bCs/>
              </w:rPr>
            </w:pPr>
            <w:r w:rsidRPr="001E1DDD">
              <w:rPr>
                <w:bCs/>
              </w:rPr>
              <w:t>Код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A14AF" w:rsidRPr="001E1DDD" w:rsidRDefault="002A14AF" w:rsidP="00011945">
            <w:pPr>
              <w:jc w:val="center"/>
              <w:rPr>
                <w:bCs/>
              </w:rPr>
            </w:pPr>
            <w:r w:rsidRPr="001E1DDD">
              <w:rPr>
                <w:bCs/>
              </w:rPr>
              <w:t xml:space="preserve">Наименования тем, элементов и </w:t>
            </w:r>
            <w:proofErr w:type="spellStart"/>
            <w:r w:rsidRPr="001E1DDD">
              <w:rPr>
                <w:bCs/>
              </w:rPr>
              <w:t>подэлементов</w:t>
            </w:r>
            <w:proofErr w:type="spellEnd"/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4.1.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Игровая терапия недержания мочи и кала у детей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4.2.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Игровая терапия страхов у детей</w:t>
            </w:r>
          </w:p>
        </w:tc>
      </w:tr>
      <w:tr w:rsidR="002A14AF" w:rsidRPr="001E1DDD" w:rsidTr="002A14AF">
        <w:trPr>
          <w:trHeight w:val="293"/>
        </w:trPr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4.3.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 xml:space="preserve">Поведенческая терапия системных неврозов и </w:t>
            </w:r>
            <w:proofErr w:type="spellStart"/>
            <w:r w:rsidRPr="001E1DDD">
              <w:t>неврозоподобных</w:t>
            </w:r>
            <w:proofErr w:type="spellEnd"/>
            <w:r w:rsidRPr="001E1DDD">
              <w:t xml:space="preserve"> состояний</w:t>
            </w:r>
          </w:p>
        </w:tc>
      </w:tr>
      <w:tr w:rsidR="002A14AF" w:rsidRPr="001E1DDD" w:rsidTr="002A14AF">
        <w:trPr>
          <w:trHeight w:val="823"/>
        </w:trPr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4.3.1.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rPr>
                <w:rStyle w:val="s2"/>
              </w:rPr>
            </w:pPr>
            <w:r w:rsidRPr="001E1DDD">
              <w:rPr>
                <w:rStyle w:val="s2"/>
              </w:rPr>
              <w:t xml:space="preserve">Особенности поведенческой терапии у детей, подростков. </w:t>
            </w:r>
            <w:proofErr w:type="gramStart"/>
            <w:r w:rsidRPr="001E1DDD">
              <w:t xml:space="preserve">Методики прямого действия </w:t>
            </w:r>
            <w:r w:rsidRPr="001E1DDD">
              <w:rPr>
                <w:rStyle w:val="s2"/>
              </w:rPr>
              <w:t>(Систематическая десенсибилизации (</w:t>
            </w:r>
            <w:proofErr w:type="spellStart"/>
            <w:r w:rsidRPr="001E1DDD">
              <w:rPr>
                <w:rStyle w:val="s2"/>
              </w:rPr>
              <w:t>десенситизация</w:t>
            </w:r>
            <w:proofErr w:type="spellEnd"/>
            <w:r w:rsidRPr="001E1DDD">
              <w:rPr>
                <w:rStyle w:val="s2"/>
              </w:rPr>
              <w:t>).</w:t>
            </w:r>
            <w:proofErr w:type="gramEnd"/>
            <w:r w:rsidRPr="001E1DDD">
              <w:rPr>
                <w:rStyle w:val="s2"/>
              </w:rPr>
              <w:t xml:space="preserve"> Имплозивные техники. Фединг. </w:t>
            </w:r>
            <w:proofErr w:type="spellStart"/>
            <w:r w:rsidRPr="001E1DDD">
              <w:rPr>
                <w:rStyle w:val="s2"/>
              </w:rPr>
              <w:t>Эмотивное</w:t>
            </w:r>
            <w:proofErr w:type="spellEnd"/>
            <w:r w:rsidRPr="001E1DDD">
              <w:rPr>
                <w:rStyle w:val="s2"/>
              </w:rPr>
              <w:t xml:space="preserve"> воображение. </w:t>
            </w:r>
            <w:proofErr w:type="gramStart"/>
            <w:r w:rsidRPr="001E1DDD">
              <w:rPr>
                <w:rStyle w:val="s2"/>
              </w:rPr>
              <w:t>Методика наводнения).</w:t>
            </w:r>
            <w:proofErr w:type="gramEnd"/>
          </w:p>
        </w:tc>
      </w:tr>
      <w:tr w:rsidR="002A14AF" w:rsidRPr="001E1DDD" w:rsidTr="002A14AF">
        <w:trPr>
          <w:trHeight w:val="503"/>
        </w:trPr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4.3.2.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rPr>
                <w:rStyle w:val="s2"/>
              </w:rPr>
            </w:pPr>
            <w:proofErr w:type="gramStart"/>
            <w:r w:rsidRPr="001E1DDD">
              <w:rPr>
                <w:rStyle w:val="s2"/>
              </w:rPr>
              <w:t>Парадоксальные вмешательства в структуре поведенческой терапии (Парадоксальная интенция.</w:t>
            </w:r>
            <w:proofErr w:type="gramEnd"/>
            <w:r w:rsidRPr="001E1DDD">
              <w:rPr>
                <w:rStyle w:val="s2"/>
              </w:rPr>
              <w:t xml:space="preserve"> Отрицательное самовнушение. </w:t>
            </w:r>
            <w:proofErr w:type="gramStart"/>
            <w:r w:rsidRPr="001E1DDD">
              <w:rPr>
                <w:rStyle w:val="s2"/>
              </w:rPr>
              <w:t>Методика негативного воздействия и др.)</w:t>
            </w:r>
            <w:r>
              <w:rPr>
                <w:rStyle w:val="s2"/>
              </w:rPr>
              <w:t>.</w:t>
            </w:r>
            <w:proofErr w:type="gramEnd"/>
          </w:p>
        </w:tc>
      </w:tr>
    </w:tbl>
    <w:p w:rsidR="002A14AF" w:rsidRPr="001E1DDD" w:rsidRDefault="002A14AF" w:rsidP="002A14AF">
      <w:pPr>
        <w:jc w:val="center"/>
      </w:pPr>
    </w:p>
    <w:p w:rsidR="002A14AF" w:rsidRDefault="002A14AF" w:rsidP="002A14AF">
      <w:pPr>
        <w:jc w:val="center"/>
        <w:rPr>
          <w:rStyle w:val="s2"/>
        </w:rPr>
      </w:pPr>
    </w:p>
    <w:p w:rsidR="002A14AF" w:rsidRPr="001E1DDD" w:rsidRDefault="002A14AF" w:rsidP="002A14AF">
      <w:pPr>
        <w:jc w:val="center"/>
        <w:rPr>
          <w:rStyle w:val="s2"/>
        </w:rPr>
      </w:pPr>
      <w:r w:rsidRPr="001E1DDD">
        <w:rPr>
          <w:rStyle w:val="s2"/>
        </w:rPr>
        <w:lastRenderedPageBreak/>
        <w:t>РАЗДЕЛ 5</w:t>
      </w:r>
    </w:p>
    <w:p w:rsidR="002A14AF" w:rsidRPr="001E1DDD" w:rsidRDefault="002A14AF" w:rsidP="002A14AF">
      <w:pPr>
        <w:jc w:val="center"/>
        <w:rPr>
          <w:rStyle w:val="s2"/>
        </w:rPr>
      </w:pPr>
      <w:r w:rsidRPr="001E1DDD">
        <w:rPr>
          <w:rStyle w:val="s2"/>
        </w:rPr>
        <w:t xml:space="preserve">Методы </w:t>
      </w:r>
      <w:proofErr w:type="spellStart"/>
      <w:r w:rsidRPr="001E1DDD">
        <w:rPr>
          <w:rStyle w:val="s2"/>
        </w:rPr>
        <w:t>психорегуляции</w:t>
      </w:r>
      <w:proofErr w:type="spellEnd"/>
      <w:r w:rsidRPr="001E1DDD">
        <w:rPr>
          <w:rStyle w:val="s2"/>
        </w:rPr>
        <w:t xml:space="preserve"> в терапии функциональных расстройств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875"/>
        <w:gridCol w:w="9258"/>
      </w:tblGrid>
      <w:tr w:rsidR="002A14AF" w:rsidRPr="001E1DDD" w:rsidTr="002A14AF">
        <w:trPr>
          <w:trHeight w:val="276"/>
        </w:trPr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5.1.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  <w:rPr>
                <w:rStyle w:val="s2"/>
              </w:rPr>
            </w:pPr>
            <w:r w:rsidRPr="001E1DDD">
              <w:rPr>
                <w:rStyle w:val="s2"/>
              </w:rPr>
              <w:t>Произвольное самовнушение</w:t>
            </w:r>
          </w:p>
        </w:tc>
      </w:tr>
      <w:tr w:rsidR="002A14AF" w:rsidRPr="001E1DDD" w:rsidTr="002A14AF">
        <w:trPr>
          <w:trHeight w:val="265"/>
        </w:trPr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5.2.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  <w:rPr>
                <w:rStyle w:val="s2"/>
              </w:rPr>
            </w:pPr>
            <w:r w:rsidRPr="001E1DDD">
              <w:rPr>
                <w:rStyle w:val="s2"/>
              </w:rPr>
              <w:t>Аутогенная тренировка</w:t>
            </w:r>
          </w:p>
        </w:tc>
      </w:tr>
      <w:tr w:rsidR="002A14AF" w:rsidRPr="001E1DDD" w:rsidTr="002A14AF">
        <w:trPr>
          <w:trHeight w:val="270"/>
        </w:trPr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5.3.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  <w:rPr>
                <w:rStyle w:val="s2"/>
              </w:rPr>
            </w:pPr>
            <w:proofErr w:type="spellStart"/>
            <w:r w:rsidRPr="001E1DDD">
              <w:rPr>
                <w:rStyle w:val="s2"/>
              </w:rPr>
              <w:t>Гетеротренинг</w:t>
            </w:r>
            <w:proofErr w:type="spellEnd"/>
          </w:p>
        </w:tc>
      </w:tr>
      <w:tr w:rsidR="002A14AF" w:rsidRPr="001E1DDD" w:rsidTr="002A14AF">
        <w:trPr>
          <w:trHeight w:val="273"/>
        </w:trPr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5.4.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  <w:rPr>
                <w:rStyle w:val="s2"/>
              </w:rPr>
            </w:pPr>
            <w:r w:rsidRPr="001E1DDD">
              <w:rPr>
                <w:rStyle w:val="s2"/>
              </w:rPr>
              <w:t>Прогрессирующая мышечная релаксация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r w:rsidRPr="001E1DDD">
              <w:t>5.5.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proofErr w:type="gramStart"/>
            <w:r w:rsidRPr="001E1DDD">
              <w:rPr>
                <w:rStyle w:val="s2"/>
              </w:rPr>
              <w:t xml:space="preserve">Основы гипносуггестивной терапии (Внушаемость и </w:t>
            </w:r>
            <w:proofErr w:type="spellStart"/>
            <w:r w:rsidRPr="001E1DDD">
              <w:rPr>
                <w:rStyle w:val="s2"/>
              </w:rPr>
              <w:t>гипнабельность</w:t>
            </w:r>
            <w:proofErr w:type="spellEnd"/>
            <w:r w:rsidRPr="001E1DDD">
              <w:rPr>
                <w:rStyle w:val="s2"/>
              </w:rPr>
              <w:t>.</w:t>
            </w:r>
            <w:proofErr w:type="gramEnd"/>
            <w:r w:rsidRPr="001E1DDD">
              <w:rPr>
                <w:rStyle w:val="s2"/>
              </w:rPr>
              <w:t xml:space="preserve"> Гипнотические техники. Фракционный гипноз. Показания и противопоказания к гипнотерапии. </w:t>
            </w:r>
            <w:proofErr w:type="spellStart"/>
            <w:r w:rsidRPr="001E1DDD">
              <w:rPr>
                <w:rStyle w:val="s2"/>
              </w:rPr>
              <w:t>Гипнокатарсис</w:t>
            </w:r>
            <w:proofErr w:type="spellEnd"/>
            <w:r w:rsidRPr="001E1DDD">
              <w:rPr>
                <w:rStyle w:val="s2"/>
              </w:rPr>
              <w:t xml:space="preserve">. Возрастная регрессия и возрастная прогрессия. Сеансы </w:t>
            </w:r>
            <w:proofErr w:type="spellStart"/>
            <w:r w:rsidRPr="001E1DDD">
              <w:rPr>
                <w:rStyle w:val="s2"/>
              </w:rPr>
              <w:t>психорегуляции</w:t>
            </w:r>
            <w:proofErr w:type="spellEnd"/>
            <w:r w:rsidRPr="001E1DDD">
              <w:rPr>
                <w:rStyle w:val="s2"/>
              </w:rPr>
              <w:t xml:space="preserve"> (авторская методика). Индивидуальная гипнотерапия. Особенности гипносуггестивной терапии в группе. Гипносуггестивная терапия у детей. Парадоксальная техника индукции в гипнотическое состояние. «Материнский» гипноз.</w:t>
            </w:r>
            <w:r w:rsidRPr="001E1DDD">
              <w:t xml:space="preserve"> </w:t>
            </w:r>
          </w:p>
        </w:tc>
      </w:tr>
    </w:tbl>
    <w:p w:rsidR="002A14AF" w:rsidRPr="001E1DDD" w:rsidRDefault="002A14AF" w:rsidP="002A14AF">
      <w:pPr>
        <w:pStyle w:val="p3"/>
        <w:spacing w:before="0" w:after="0"/>
        <w:jc w:val="center"/>
      </w:pPr>
    </w:p>
    <w:p w:rsidR="002A14AF" w:rsidRPr="001E1DDD" w:rsidRDefault="002A14AF" w:rsidP="002A14AF">
      <w:pPr>
        <w:pStyle w:val="p3"/>
        <w:spacing w:before="0" w:after="0"/>
        <w:jc w:val="center"/>
      </w:pPr>
      <w:r w:rsidRPr="001E1DDD">
        <w:t>РАЗДЕЛ 6</w:t>
      </w:r>
    </w:p>
    <w:p w:rsidR="002A14AF" w:rsidRPr="001E1DDD" w:rsidRDefault="002A14AF" w:rsidP="002A14AF">
      <w:pPr>
        <w:pStyle w:val="p3"/>
        <w:spacing w:before="0" w:after="0"/>
        <w:jc w:val="center"/>
      </w:pPr>
      <w:r w:rsidRPr="001E1DDD">
        <w:t xml:space="preserve">Ролевые тренинги (стажировка) и лечебно-оздоровительные сеансы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875"/>
        <w:gridCol w:w="9258"/>
      </w:tblGrid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after="0"/>
            </w:pPr>
            <w:r w:rsidRPr="001E1DDD">
              <w:t>6.1.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Ролевой тренинг врач (клинический психолог) – пациент; пациент -  врач (клинический психолог)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6.1.1.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Работа в парах (тройках)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6.1.2.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Работа в паре с преподавателем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6.2.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proofErr w:type="spellStart"/>
            <w:r w:rsidRPr="001E1DDD">
              <w:t>Баллинтовская</w:t>
            </w:r>
            <w:proofErr w:type="spellEnd"/>
            <w:r w:rsidRPr="001E1DDD">
              <w:t xml:space="preserve"> группа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6.3.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 xml:space="preserve">Сеанс </w:t>
            </w:r>
            <w:proofErr w:type="spellStart"/>
            <w:r w:rsidRPr="001E1DDD">
              <w:t>гетеротренинга</w:t>
            </w:r>
            <w:proofErr w:type="spellEnd"/>
            <w:r w:rsidRPr="001E1DDD">
              <w:t xml:space="preserve"> для участников семинара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6.4.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Сеанс прогрессирующей мышечной релаксации для участников семинара</w:t>
            </w:r>
          </w:p>
        </w:tc>
      </w:tr>
      <w:tr w:rsidR="002A14AF" w:rsidRPr="001E1DDD" w:rsidTr="002A14AF">
        <w:tc>
          <w:tcPr>
            <w:tcW w:w="432" w:type="pct"/>
            <w:tcBorders>
              <w:right w:val="nil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>6.5.</w:t>
            </w:r>
          </w:p>
        </w:tc>
        <w:tc>
          <w:tcPr>
            <w:tcW w:w="4568" w:type="pc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A14AF" w:rsidRPr="001E1DDD" w:rsidRDefault="002A14AF" w:rsidP="00011945">
            <w:pPr>
              <w:pStyle w:val="p3"/>
              <w:spacing w:before="0" w:after="0"/>
            </w:pPr>
            <w:r w:rsidRPr="001E1DDD">
              <w:t xml:space="preserve">Сеанс </w:t>
            </w:r>
            <w:proofErr w:type="spellStart"/>
            <w:r w:rsidRPr="001E1DDD">
              <w:t>психорегуляции</w:t>
            </w:r>
            <w:proofErr w:type="spellEnd"/>
            <w:r w:rsidRPr="001E1DDD">
              <w:t xml:space="preserve"> (гипноза) для участников семинара</w:t>
            </w:r>
          </w:p>
        </w:tc>
      </w:tr>
    </w:tbl>
    <w:p w:rsidR="002A14AF" w:rsidRDefault="002A14AF" w:rsidP="002A14AF">
      <w:pPr>
        <w:rPr>
          <w:b/>
        </w:rPr>
      </w:pPr>
    </w:p>
    <w:p w:rsidR="002F6B94" w:rsidRDefault="002F6B94"/>
    <w:sectPr w:rsidR="002F6B94" w:rsidSect="002A14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AF"/>
    <w:rsid w:val="002A14AF"/>
    <w:rsid w:val="002F6B94"/>
    <w:rsid w:val="003E0525"/>
    <w:rsid w:val="00AB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AF"/>
    <w:pPr>
      <w:suppressAutoHyphens/>
      <w:spacing w:after="0" w:line="240" w:lineRule="auto"/>
    </w:pPr>
    <w:rPr>
      <w:rFonts w:ascii="Times New Roman" w:eastAsia="Batang;??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uiPriority w:val="99"/>
    <w:rsid w:val="002A14AF"/>
    <w:rPr>
      <w:rFonts w:cs="Times New Roman"/>
    </w:rPr>
  </w:style>
  <w:style w:type="paragraph" w:customStyle="1" w:styleId="p3">
    <w:name w:val="p3"/>
    <w:basedOn w:val="a"/>
    <w:uiPriority w:val="99"/>
    <w:rsid w:val="002A14AF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2017-11-30T07:18:00Z</dcterms:created>
  <dcterms:modified xsi:type="dcterms:W3CDTF">2017-12-04T09:11:00Z</dcterms:modified>
</cp:coreProperties>
</file>