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CE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334C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4CE1">
        <w:rPr>
          <w:rFonts w:ascii="Times New Roman" w:hAnsi="Times New Roman" w:cs="Times New Roman"/>
          <w:sz w:val="24"/>
          <w:szCs w:val="24"/>
        </w:rPr>
        <w:t xml:space="preserve">: врачи </w:t>
      </w:r>
      <w:proofErr w:type="spellStart"/>
      <w:r w:rsidRPr="00334CE1">
        <w:rPr>
          <w:rFonts w:ascii="Times New Roman" w:hAnsi="Times New Roman" w:cs="Times New Roman"/>
          <w:sz w:val="24"/>
          <w:szCs w:val="24"/>
        </w:rPr>
        <w:t>неонатологи</w:t>
      </w:r>
      <w:proofErr w:type="spellEnd"/>
      <w:r w:rsidRPr="00334CE1">
        <w:rPr>
          <w:rFonts w:ascii="Times New Roman" w:hAnsi="Times New Roman" w:cs="Times New Roman"/>
          <w:sz w:val="24"/>
          <w:szCs w:val="24"/>
        </w:rPr>
        <w:t>, анестезиологи-реаниматологи, педиатры.</w:t>
      </w:r>
    </w:p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РАЗДЕЛ 1</w:t>
      </w: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 xml:space="preserve">Особенности белкового и энергетического обмена у недоношенных детей. Роль </w:t>
      </w:r>
      <w:proofErr w:type="spellStart"/>
      <w:r w:rsidRPr="00334CE1">
        <w:rPr>
          <w:rFonts w:ascii="Times New Roman" w:hAnsi="Times New Roman" w:cs="Times New Roman"/>
          <w:sz w:val="24"/>
          <w:szCs w:val="24"/>
        </w:rPr>
        <w:t>пробиотиков</w:t>
      </w:r>
      <w:proofErr w:type="spellEnd"/>
      <w:r w:rsidRPr="00334C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20" w:type="dxa"/>
        <w:tblLayout w:type="fixed"/>
        <w:tblLook w:val="0000"/>
      </w:tblPr>
      <w:tblGrid>
        <w:gridCol w:w="696"/>
        <w:gridCol w:w="9340"/>
      </w:tblGrid>
      <w:tr w:rsidR="00334CE1" w:rsidRPr="00334CE1" w:rsidTr="00FC4D6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34CE1" w:rsidRPr="00334CE1" w:rsidTr="00FC4D66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Энергетический баланс у недоношенных детей</w:t>
            </w:r>
          </w:p>
        </w:tc>
      </w:tr>
      <w:tr w:rsidR="00334CE1" w:rsidRPr="00334CE1" w:rsidTr="00FC4D6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Потребность в белке у недоношенных детей</w:t>
            </w:r>
          </w:p>
        </w:tc>
      </w:tr>
      <w:tr w:rsidR="00334CE1" w:rsidRPr="00334CE1" w:rsidTr="00FC4D6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Водно-электролитный баланс</w:t>
            </w:r>
          </w:p>
        </w:tc>
      </w:tr>
    </w:tbl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РАЗДЕЛ 2</w:t>
      </w: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Парентеральное питание недоношенных детей</w:t>
      </w:r>
    </w:p>
    <w:tbl>
      <w:tblPr>
        <w:tblW w:w="0" w:type="auto"/>
        <w:tblInd w:w="-20" w:type="dxa"/>
        <w:tblLayout w:type="fixed"/>
        <w:tblLook w:val="0000"/>
      </w:tblPr>
      <w:tblGrid>
        <w:gridCol w:w="696"/>
        <w:gridCol w:w="9340"/>
      </w:tblGrid>
      <w:tr w:rsidR="00334CE1" w:rsidRPr="00334CE1" w:rsidTr="00FC4D6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организации парентерального питания у детей с ЭНМТ и ОНМТ</w:t>
            </w:r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Принципы расчета парентерального питания, коррекция и «управление» водно-солевым балансом при различных состояниях у недоношенных детей.</w:t>
            </w:r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Особенности парентерального питания при таких состояниях как НЭК и другая хирургическая патология ЖКТ, ОАП, БЛД, тяжелых «критических» состояниях</w:t>
            </w:r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Катетеризация центральных и периферических вен для проведения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 парентерального питания</w:t>
            </w:r>
          </w:p>
        </w:tc>
      </w:tr>
    </w:tbl>
    <w:p w:rsid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CE1">
        <w:rPr>
          <w:rFonts w:ascii="Times New Roman" w:hAnsi="Times New Roman" w:cs="Times New Roman"/>
          <w:sz w:val="24"/>
          <w:szCs w:val="24"/>
        </w:rPr>
        <w:t>РАЗДЕЛ 3</w:t>
      </w:r>
    </w:p>
    <w:p w:rsidR="00334CE1" w:rsidRPr="00334CE1" w:rsidRDefault="00334CE1" w:rsidP="0033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4CE1">
        <w:rPr>
          <w:rFonts w:ascii="Times New Roman" w:hAnsi="Times New Roman" w:cs="Times New Roman"/>
          <w:sz w:val="24"/>
          <w:szCs w:val="24"/>
        </w:rPr>
        <w:t>Энтеральное</w:t>
      </w:r>
      <w:proofErr w:type="spellEnd"/>
      <w:r w:rsidRPr="00334CE1">
        <w:rPr>
          <w:rFonts w:ascii="Times New Roman" w:hAnsi="Times New Roman" w:cs="Times New Roman"/>
          <w:sz w:val="24"/>
          <w:szCs w:val="24"/>
        </w:rPr>
        <w:t xml:space="preserve"> питание недоношенных детей</w:t>
      </w:r>
    </w:p>
    <w:tbl>
      <w:tblPr>
        <w:tblW w:w="10036" w:type="dxa"/>
        <w:tblInd w:w="-20" w:type="dxa"/>
        <w:tblLayout w:type="fixed"/>
        <w:tblLook w:val="0000"/>
      </w:tblPr>
      <w:tblGrid>
        <w:gridCol w:w="696"/>
        <w:gridCol w:w="9340"/>
      </w:tblGrid>
      <w:tr w:rsidR="00334CE1" w:rsidRPr="00334CE1" w:rsidTr="00FC4D6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Трофическое минимальное питание. Мониторинг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нутритивного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статуса. ЗВУР и ЗПНР</w:t>
            </w:r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Нутритивная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у детей с БЛД, с ВПС,  с НЭК, с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остеопенией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лактазной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недостаточностью, с хирургической патологией ЖКТ, при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хилотораксе</w:t>
            </w:r>
            <w:proofErr w:type="spellEnd"/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виды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вскармливания. Фортификация питания. Противопоказания к </w:t>
            </w:r>
            <w:proofErr w:type="spellStart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энтеральному</w:t>
            </w:r>
            <w:proofErr w:type="spellEnd"/>
            <w:r w:rsidRPr="00334CE1">
              <w:rPr>
                <w:rFonts w:ascii="Times New Roman" w:hAnsi="Times New Roman" w:cs="Times New Roman"/>
                <w:sz w:val="24"/>
                <w:szCs w:val="24"/>
              </w:rPr>
              <w:t xml:space="preserve"> питанию.</w:t>
            </w:r>
          </w:p>
        </w:tc>
      </w:tr>
      <w:tr w:rsidR="00334CE1" w:rsidRPr="00334CE1" w:rsidTr="00FC4D6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CE1" w:rsidRPr="00334CE1" w:rsidRDefault="00334CE1" w:rsidP="00334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E1">
              <w:rPr>
                <w:rFonts w:ascii="Times New Roman" w:hAnsi="Times New Roman" w:cs="Times New Roman"/>
                <w:sz w:val="24"/>
                <w:szCs w:val="24"/>
              </w:rPr>
              <w:t>Способы введения питательного субстрата недоношенным детям</w:t>
            </w:r>
          </w:p>
        </w:tc>
      </w:tr>
    </w:tbl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CE1" w:rsidRPr="00334CE1" w:rsidRDefault="00334CE1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7C0" w:rsidRPr="00334CE1" w:rsidRDefault="001B37C0" w:rsidP="00334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37C0" w:rsidRPr="00334CE1" w:rsidSect="00334C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CE1"/>
    <w:rsid w:val="001B37C0"/>
    <w:rsid w:val="00334CE1"/>
    <w:rsid w:val="0092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334CE1"/>
    <w:rPr>
      <w:b/>
    </w:rPr>
  </w:style>
  <w:style w:type="paragraph" w:customStyle="1" w:styleId="-11">
    <w:name w:val="Цветной список - Акцент 11"/>
    <w:basedOn w:val="a"/>
    <w:rsid w:val="00334CE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334CE1"/>
    <w:pPr>
      <w:widowControl w:val="0"/>
      <w:suppressAutoHyphens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334CE1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Дом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2017-11-29T18:43:00Z</dcterms:created>
  <dcterms:modified xsi:type="dcterms:W3CDTF">2017-12-04T09:06:00Z</dcterms:modified>
</cp:coreProperties>
</file>